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22222"/>
        </w:rPr>
      </w:pPr>
      <w:r>
        <w:rPr>
          <w:rFonts w:ascii="TimesNewRomanPS-BoldMT" w:hAnsi="TimesNewRomanPS-BoldMT" w:cs="TimesNewRomanPS-BoldMT"/>
          <w:b/>
          <w:bCs/>
          <w:color w:val="222222"/>
        </w:rPr>
        <w:t>Sujet de stage – janvier-juin 2021 – Université des Antilles, Pôle Guadeloupe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22222"/>
        </w:rPr>
      </w:pP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22222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222222"/>
          <w:sz w:val="32"/>
          <w:szCs w:val="32"/>
        </w:rPr>
        <w:t>Stage Master 2 / MFE Ingénieur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22222"/>
          <w:sz w:val="32"/>
          <w:szCs w:val="32"/>
        </w:rPr>
      </w:pPr>
      <w:bookmarkStart w:id="0" w:name="_GoBack"/>
      <w:bookmarkEnd w:id="0"/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Les conceptions des Risques Naturels Majeurs en contexte insulaire tropical.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Mots clefs : </w:t>
      </w:r>
      <w:r>
        <w:rPr>
          <w:rFonts w:ascii="TimesNewRomanPSMT" w:hAnsi="TimesNewRomanPSMT" w:cs="TimesNewRomanPSMT"/>
          <w:color w:val="000000"/>
        </w:rPr>
        <w:t>Risques Naturels, Conceptions, Culture du Risque, Développement Méthodologique,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Guadeloupe.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Sujet: </w:t>
      </w:r>
      <w:r>
        <w:rPr>
          <w:rFonts w:ascii="TimesNewRomanPSMT" w:hAnsi="TimesNewRomanPSMT" w:cs="TimesNewRomanPSMT"/>
          <w:color w:val="000000"/>
        </w:rPr>
        <w:t>De par leur situation géologique (zone de subduction tropicale, zone de convergence des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phénomènes cycloniques), les Antilles françaises sont soumises à de nombreux aléas naturels :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séismes, volcans actifs, tsunamis, glissements de terrain, cyclones, inondations, érosion côtière,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montée du niveau marin. La réduction des risques associés à ces aléas est liée à la qualité de la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préparation de la population et donc à son niveau d’information et d’appropriation d’une culture du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risque pérenne. Afin de pouvoir cibler les actions de sensibilisation de la population, il est donc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nécessaire de connaitre au mieux les conceptions liées aux risques naturels et leurs modalités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d’acquisition. En collaboration avec la Plate-forme d’Intervention en Amérique et aux Caraïbes de la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Croix-Rouge Française (PIRAC), l’Université des Antilles (UA) mène actuellement un projet de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recherche pluridisciplinaire alliant des chercheurs en Géosciences et des chercheurs en Sciences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Humaines et Sociales, ainsi que des acteurs opérationnels.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Lors d’études précédentes, l’UA a élaboré une méthodologie d’étude et d’analyse des conceptions et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 leurs modalités d’apprentissage/de transmission basée sur l’analyse des interactions entre les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individus et les différents items de leur environnement respectif. Suivant cette méthodologie, le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stagiaire devra mettre en place un protocole robuste de collecte de données via des questionnaires. Le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recueil devra permettre de travailler sur les principaux aspects du développement d’</w:t>
      </w:r>
      <w:r>
        <w:rPr>
          <w:rFonts w:ascii="TimesNewRomanPSMT" w:hAnsi="TimesNewRomanPSMT" w:cs="TimesNewRomanPSMT"/>
          <w:color w:val="000000"/>
        </w:rPr>
        <w:t xml:space="preserve">une culture du </w:t>
      </w:r>
      <w:r>
        <w:rPr>
          <w:rFonts w:ascii="TimesNewRomanPSMT" w:hAnsi="TimesNewRomanPSMT" w:cs="TimesNewRomanPSMT"/>
          <w:color w:val="000000"/>
        </w:rPr>
        <w:t>risque pérenne (conceptions liées aux risques, lien intergénérationnel, perception des temps longs,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cartographie des conceptions en fonction des critères géographiques de l’archipel – zones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urbaines/rurales, double insularité – des différentes catégories socio-économiques et des différentes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tranches d’âge). Il devra ensuite implémenter une base de données et traiter les données au moyen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d’outils statistiques (Analyses en Composantes Multiple). A l’issue du traitement, il devra établir des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profils individuels type permettant aux éducateurs/formateurs de définir des actions de sensibilisation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ciblées et pertinentes.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 public visé est constitué notamment des scolaires et de leurs ascendants, des personnels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communaux impliqués dans la gestion des crises et des habitants des communes cibles. En fonction de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l’avancement du travail, le stagiaire fera passer les questionnaires dans les établissements scolaires et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en mairie. Il bénéficiera de l’appui de l’équipe de recherche et de l’équipe projet de la Croix Rouge,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ainsi que d’un moyen de transport s’il n’en dispose pas en Guadeloupe. Tous les frais de déplacement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sur le terrain seront pris en charge. L’UA et la PIRAC disposent par ailleurs de tous les contacts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nécessaires (rectorat, mairies).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 stage s’inscrit dans une perspective à plus long terme, l’étudiant(e) sélectionné(e) sera invité(e) à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poursuivre en doctorat. Dans le cadre d’une thèse, il s’agira alors d’automatiser dans un premier temps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la collecte des données via une interface numérique. Ensuite, le traitement sera établi par apprentissage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machine (e.g. </w:t>
      </w:r>
      <w:r>
        <w:rPr>
          <w:rFonts w:ascii="TimesNewRomanPS-ItalicMT" w:hAnsi="TimesNewRomanPS-ItalicMT" w:cs="TimesNewRomanPS-ItalicMT"/>
          <w:i/>
          <w:iCs/>
          <w:color w:val="000000"/>
        </w:rPr>
        <w:t>Hierarchical Clustering</w:t>
      </w:r>
      <w:r>
        <w:rPr>
          <w:rFonts w:ascii="TimesNewRomanPSMT" w:hAnsi="TimesNewRomanPSMT" w:cs="TimesNewRomanPSMT"/>
          <w:color w:val="000000"/>
        </w:rPr>
        <w:t>) de façon à mettre automatiquement en évidence des profils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individuels types. Cette méthode sera généralisée grâce à des données collectées sur d’autres zones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d’étude (Caraïbes, régions Andines, Liban), qui serviront d’une part à entrainer une Intelligence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Artificielle (par exemple type </w:t>
      </w:r>
      <w:r>
        <w:rPr>
          <w:rFonts w:ascii="TimesNewRomanPS-ItalicMT" w:hAnsi="TimesNewRomanPS-ItalicMT" w:cs="TimesNewRomanPS-ItalicMT"/>
          <w:i/>
          <w:iCs/>
          <w:color w:val="000000"/>
        </w:rPr>
        <w:t>Random Forest</w:t>
      </w:r>
      <w:r>
        <w:rPr>
          <w:rFonts w:ascii="TimesNewRomanPSMT" w:hAnsi="TimesNewRomanPSMT" w:cs="TimesNewRomanPSMT"/>
          <w:color w:val="000000"/>
        </w:rPr>
        <w:t>) et d’autre part à tester le caractère prédictif du modèle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(établissement automatisé de profils type à partir des paramètres quantifiés).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Profil recherché : </w:t>
      </w:r>
      <w:r>
        <w:rPr>
          <w:rFonts w:ascii="TimesNewRomanPSMT" w:hAnsi="TimesNewRomanPSMT" w:cs="TimesNewRomanPSMT"/>
          <w:color w:val="000000"/>
        </w:rPr>
        <w:t>Le/la stagiaire sera amené(e) à travailler avec une équipe pluridisciplinaire de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chercheurs. Il/elle devra donc être capable de travailler avec des interlocuteurs variés et être autonome.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Différents profils seront considérés (Géosciences, SHS, Géographie, </w:t>
      </w:r>
      <w:r>
        <w:rPr>
          <w:rFonts w:ascii="TimesNewRomanPSMT" w:hAnsi="TimesNewRomanPSMT" w:cs="TimesNewRomanPSMT"/>
          <w:color w:val="000000"/>
        </w:rPr>
        <w:lastRenderedPageBreak/>
        <w:t>Informatique…). Le sens et le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goût du contact sont nécessaires. Une forte motivation pour la recherche est attendue. Le stage sera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effectué en Guadeloupe (le cas échéant, le déplacement depuis la métropole ou autre sera pris en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charge). Permis B indispensable. Les mesures de protections liées à l’épidémie de COVID19 devront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être respectées scrupuleusement.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Encadrement : </w:t>
      </w:r>
      <w:r>
        <w:rPr>
          <w:rFonts w:ascii="TimesNewRomanPSMT" w:hAnsi="TimesNewRomanPSMT" w:cs="TimesNewRomanPSMT"/>
          <w:color w:val="000000"/>
        </w:rPr>
        <w:t>le stagiaire sera amené à collaborer avec des chercheurs de l’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UA </w:t>
      </w:r>
      <w:r>
        <w:rPr>
          <w:rFonts w:ascii="TimesNewRomanPSMT" w:hAnsi="TimesNewRomanPSMT" w:cs="TimesNewRomanPSMT"/>
          <w:color w:val="000000"/>
        </w:rPr>
        <w:t>(</w:t>
      </w:r>
      <w:hyperlink r:id="rId4" w:history="1">
        <w:r w:rsidRPr="00131FB0">
          <w:rPr>
            <w:rStyle w:val="Lienhypertexte"/>
            <w:rFonts w:ascii="TimesNewRomanPSMT" w:hAnsi="TimesNewRomanPSMT" w:cs="TimesNewRomanPSMT"/>
          </w:rPr>
          <w:t>GM</w:t>
        </w:r>
      </w:hyperlink>
      <w:r>
        <w:rPr>
          <w:rFonts w:ascii="TimesNewRomanPSMT" w:hAnsi="TimesNewRomanPSMT" w:cs="TimesNewRomanPSMT"/>
          <w:color w:val="000000"/>
        </w:rPr>
        <w:t>: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et </w:t>
      </w:r>
      <w:hyperlink r:id="rId5" w:history="1">
        <w:r w:rsidRPr="00131FB0">
          <w:rPr>
            <w:rStyle w:val="Lienhypertexte"/>
            <w:rFonts w:ascii="TimesNewRomanPSMT" w:hAnsi="TimesNewRomanPSMT" w:cs="TimesNewRomanPSMT"/>
          </w:rPr>
          <w:t>CRREF</w:t>
        </w:r>
      </w:hyperlink>
      <w:r>
        <w:rPr>
          <w:rFonts w:ascii="TimesNewRomanPSMT" w:hAnsi="TimesNewRomanPSMT" w:cs="TimesNewRomanPSMT"/>
          <w:color w:val="000000"/>
        </w:rPr>
        <w:t>), de l’</w:t>
      </w:r>
      <w:hyperlink r:id="rId6" w:history="1">
        <w:r w:rsidRPr="00131FB0">
          <w:rPr>
            <w:rStyle w:val="Lienhypertexte"/>
            <w:rFonts w:ascii="TimesNewRomanPS-BoldMT" w:hAnsi="TimesNewRomanPS-BoldMT" w:cs="TimesNewRomanPS-BoldMT"/>
            <w:b/>
            <w:bCs/>
          </w:rPr>
          <w:t>UGA</w:t>
        </w:r>
      </w:hyperlink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et de l’</w:t>
      </w:r>
      <w:hyperlink r:id="rId7" w:history="1">
        <w:r w:rsidRPr="00131FB0">
          <w:rPr>
            <w:rStyle w:val="Lienhypertexte"/>
            <w:rFonts w:ascii="TimesNewRomanPS-BoldMT" w:hAnsi="TimesNewRomanPS-BoldMT" w:cs="TimesNewRomanPS-BoldMT"/>
            <w:b/>
            <w:bCs/>
          </w:rPr>
          <w:t>UBO</w:t>
        </w:r>
      </w:hyperlink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ainsi qu’avec l’équipe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opérationnelle de la </w:t>
      </w:r>
      <w:hyperlink r:id="rId8" w:history="1">
        <w:r w:rsidRPr="00131FB0">
          <w:rPr>
            <w:rStyle w:val="Lienhypertexte"/>
            <w:rFonts w:ascii="TimesNewRomanPS-BoldMT" w:hAnsi="TimesNewRomanPS-BoldMT" w:cs="TimesNewRomanPS-BoldMT"/>
            <w:b/>
            <w:bCs/>
          </w:rPr>
          <w:t>PIRAC</w:t>
        </w:r>
      </w:hyperlink>
      <w:r>
        <w:rPr>
          <w:rFonts w:ascii="TimesNewRomanPSMT" w:hAnsi="TimesNewRomanPSMT" w:cs="TimesNewRomanPSMT"/>
          <w:color w:val="000000"/>
        </w:rPr>
        <w:t>.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CO-encadrants : Yves Mazabraud et Alexandra Renouard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Collaborations : Béatrice Jeannot-Fourcaud, Thomas Forissier, Antoine Delcroix, Elise Beck,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Matthieu Jost (PIRAC)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Contact et Candidature : </w:t>
      </w:r>
      <w:r>
        <w:rPr>
          <w:rFonts w:ascii="TimesNewRomanPSMT" w:hAnsi="TimesNewRomanPSMT" w:cs="TimesNewRomanPSMT"/>
          <w:color w:val="000000"/>
        </w:rPr>
        <w:t>les candidats sont invités à prendre contact avec Y. Mazabraud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</w:t>
      </w:r>
      <w:r>
        <w:rPr>
          <w:rFonts w:ascii="TimesNewRomanPSMT" w:hAnsi="TimesNewRomanPSMT" w:cs="TimesNewRomanPSMT"/>
          <w:color w:val="0000FF"/>
        </w:rPr>
        <w:t xml:space="preserve">yves.mazabraud@univ-antilles.fr </w:t>
      </w:r>
      <w:r>
        <w:rPr>
          <w:rFonts w:ascii="TimesNewRomanPSMT" w:hAnsi="TimesNewRomanPSMT" w:cs="TimesNewRomanPSMT"/>
          <w:color w:val="000000"/>
        </w:rPr>
        <w:t>/ 05 90 21 36 15) avant le 31 décembre 2020.</w:t>
      </w:r>
    </w:p>
    <w:p w:rsid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131FB0" w:rsidRPr="00131FB0" w:rsidRDefault="00131FB0" w:rsidP="00131F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en-US"/>
        </w:rPr>
      </w:pPr>
      <w:r w:rsidRPr="00131FB0">
        <w:rPr>
          <w:rFonts w:ascii="TimesNewRomanPS-BoldMT" w:hAnsi="TimesNewRomanPS-BoldMT" w:cs="TimesNewRomanPS-BoldMT"/>
          <w:b/>
          <w:bCs/>
          <w:color w:val="000000"/>
          <w:lang w:val="en-US"/>
        </w:rPr>
        <w:t xml:space="preserve">Bibliographie : </w:t>
      </w:r>
      <w:r w:rsidRPr="00131FB0">
        <w:rPr>
          <w:rFonts w:ascii="TimesNewRomanPSMT" w:hAnsi="TimesNewRomanPSMT" w:cs="TimesNewRomanPSMT"/>
          <w:color w:val="000000"/>
          <w:lang w:val="en-US"/>
        </w:rPr>
        <w:t>Renouard, A. and Mazabraud Y., Context-based learning for Inhibition of alternative</w:t>
      </w:r>
    </w:p>
    <w:p w:rsidR="00270D3A" w:rsidRDefault="00131FB0" w:rsidP="00131FB0">
      <w:pPr>
        <w:autoSpaceDE w:val="0"/>
        <w:autoSpaceDN w:val="0"/>
        <w:adjustRightInd w:val="0"/>
        <w:spacing w:after="0" w:line="240" w:lineRule="auto"/>
        <w:jc w:val="both"/>
      </w:pPr>
      <w:r w:rsidRPr="00131FB0">
        <w:rPr>
          <w:rFonts w:ascii="TimesNewRomanPSMT" w:hAnsi="TimesNewRomanPSMT" w:cs="TimesNewRomanPSMT"/>
          <w:color w:val="000000"/>
          <w:lang w:val="en-US"/>
        </w:rPr>
        <w:t xml:space="preserve">conceptions: the next step forward in science education. </w:t>
      </w:r>
      <w:r w:rsidRPr="00131FB0">
        <w:rPr>
          <w:rFonts w:ascii="TimesNewRomanPS-ItalicMT" w:hAnsi="TimesNewRomanPS-ItalicMT" w:cs="TimesNewRomanPS-ItalicMT"/>
          <w:i/>
          <w:iCs/>
          <w:color w:val="000000"/>
          <w:lang w:val="en-US"/>
        </w:rPr>
        <w:t>Nature partner journal Science of Learning</w:t>
      </w:r>
      <w:r w:rsidRPr="00131FB0">
        <w:rPr>
          <w:rFonts w:ascii="TimesNewRomanPSMT" w:hAnsi="TimesNewRomanPSMT" w:cs="TimesNewRomanPSMT"/>
          <w:color w:val="000000"/>
          <w:lang w:val="en-US"/>
        </w:rPr>
        <w:t>, 3</w:t>
      </w:r>
      <w:r>
        <w:rPr>
          <w:rFonts w:ascii="TimesNewRomanPSMT" w:hAnsi="TimesNewRomanPSMT" w:cs="TimesNewRomanPSMT"/>
          <w:color w:val="000000"/>
          <w:lang w:val="en-US"/>
        </w:rPr>
        <w:t xml:space="preserve"> </w:t>
      </w:r>
      <w:r w:rsidRPr="00131FB0">
        <w:rPr>
          <w:rFonts w:ascii="TimesNewRomanPSMT" w:hAnsi="TimesNewRomanPSMT" w:cs="TimesNewRomanPSMT"/>
          <w:color w:val="000000"/>
          <w:lang w:val="en-US"/>
        </w:rPr>
        <w:t xml:space="preserve">:10, 2018, in Nature Outlook : Science and Technology Education, </w:t>
      </w:r>
      <w:r w:rsidRPr="00131FB0">
        <w:rPr>
          <w:rFonts w:ascii="TimesNewRomanPS-ItalicMT" w:hAnsi="TimesNewRomanPS-ItalicMT" w:cs="TimesNewRomanPS-ItalicMT"/>
          <w:i/>
          <w:iCs/>
          <w:color w:val="000000"/>
          <w:lang w:val="en-US"/>
        </w:rPr>
        <w:t>Nature</w:t>
      </w:r>
      <w:r w:rsidRPr="00131FB0">
        <w:rPr>
          <w:rFonts w:ascii="TimesNewRomanPSMT" w:hAnsi="TimesNewRomanPSMT" w:cs="TimesNewRomanPSMT"/>
          <w:color w:val="000000"/>
          <w:lang w:val="en-US"/>
        </w:rPr>
        <w:t>, ISSN 1476-4687, 2018.</w:t>
      </w:r>
      <w:r>
        <w:rPr>
          <w:rFonts w:ascii="TimesNewRomanPSMT" w:hAnsi="TimesNewRomanPSMT" w:cs="TimesNewRomanPSMT"/>
          <w:color w:val="00000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</w:rPr>
        <w:t>(</w:t>
      </w:r>
      <w:r>
        <w:rPr>
          <w:rFonts w:ascii="TimesNewRomanPSMT" w:hAnsi="TimesNewRomanPSMT" w:cs="TimesNewRomanPSMT"/>
          <w:color w:val="0000FF"/>
          <w:sz w:val="18"/>
          <w:szCs w:val="18"/>
        </w:rPr>
        <w:t>https://www.nature.com/collections/wrhbjpkrfl</w:t>
      </w:r>
      <w:r>
        <w:rPr>
          <w:rFonts w:ascii="TimesNewRomanPSMT" w:hAnsi="TimesNewRomanPSMT" w:cs="TimesNewRomanPSMT"/>
          <w:color w:val="000000"/>
        </w:rPr>
        <w:t>)</w:t>
      </w:r>
    </w:p>
    <w:sectPr w:rsidR="0027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0"/>
    <w:rsid w:val="00131FB0"/>
    <w:rsid w:val="00270D3A"/>
    <w:rsid w:val="00C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F579"/>
  <w15:chartTrackingRefBased/>
  <w15:docId w15:val="{01B84BC5-AB7B-498F-9B7B-1D4F7C2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1FB0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1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F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1F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1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1F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ix-rouge.fr/Nos-actions/Action-internationale/Rechercher-unprogram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-iuem.univ-brest.fr/l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cte-grenoble.fr/" TargetMode="External"/><Relationship Id="rId5" Type="http://schemas.openxmlformats.org/officeDocument/2006/relationships/hyperlink" Target="https://crref.wordpres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m.univ-montp2.fr/spip.php?article21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872</Words>
  <Characters>4799</Characters>
  <Application>Microsoft Office Word</Application>
  <DocSecurity>0</DocSecurity>
  <Lines>39</Lines>
  <Paragraphs>11</Paragraphs>
  <ScaleCrop>false</ScaleCrop>
  <Company>DSI UGA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Beck</dc:creator>
  <cp:keywords/>
  <dc:description/>
  <cp:lastModifiedBy>Elise Beck</cp:lastModifiedBy>
  <cp:revision>1</cp:revision>
  <dcterms:created xsi:type="dcterms:W3CDTF">2020-12-17T13:34:00Z</dcterms:created>
  <dcterms:modified xsi:type="dcterms:W3CDTF">2020-12-17T13:39:00Z</dcterms:modified>
</cp:coreProperties>
</file>